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"http://www.animations.physics.unsw.edu.au/jw/vectors.htm"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http://www.animations.physics.unsw.edu.au/jw/vectors.htm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Describes, graphs and defines vectors (2D and 3D).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Defines unit vectors.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Defines and demonstrates vector addition and subtraction.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Defines right hand rule, vector dot product and vector cross products.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Wolfe, J. (2008, August 31). </w:t>
      </w:r>
      <w:r w:rsidDel="00000000" w:rsidR="00000000" w:rsidRPr="00000000">
        <w:rPr>
          <w:i w:val="1"/>
          <w:rtl w:val="0"/>
        </w:rPr>
        <w:t xml:space="preserve">Physclips: Vectors</w:t>
      </w:r>
      <w:r w:rsidDel="00000000" w:rsidR="00000000" w:rsidRPr="00000000">
        <w:rPr>
          <w:rtl w:val="0"/>
        </w:rPr>
        <w:t xml:space="preserve">. Retrieved November 19, 2010, from University of New South Wales: http://www.animations.physics.unsw.edu.au/jw/vectors.htm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